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2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701"/>
      </w:tblGrid>
      <w:tr w:rsidR="00716AC3" w:rsidRPr="008530DB" w:rsidTr="001A1D25">
        <w:tc>
          <w:tcPr>
            <w:tcW w:w="8472" w:type="dxa"/>
          </w:tcPr>
          <w:p w:rsidR="00716AC3" w:rsidRPr="008530DB" w:rsidRDefault="00716AC3" w:rsidP="001A1D25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8530DB">
              <w:rPr>
                <w:b/>
                <w:sz w:val="26"/>
              </w:rPr>
              <w:t>List of Books</w:t>
            </w:r>
          </w:p>
        </w:tc>
        <w:tc>
          <w:tcPr>
            <w:tcW w:w="1701" w:type="dxa"/>
          </w:tcPr>
          <w:p w:rsidR="00716AC3" w:rsidRPr="008530DB" w:rsidRDefault="00716AC3" w:rsidP="001A1D25">
            <w:pPr>
              <w:spacing w:after="0" w:line="240" w:lineRule="auto"/>
              <w:rPr>
                <w:b/>
                <w:sz w:val="26"/>
              </w:rPr>
            </w:pPr>
            <w:r w:rsidRPr="008530DB">
              <w:rPr>
                <w:b/>
                <w:sz w:val="26"/>
              </w:rPr>
              <w:t>Cost in Rs. (per book)</w:t>
            </w:r>
          </w:p>
        </w:tc>
      </w:tr>
      <w:tr w:rsidR="001A1D25" w:rsidRPr="008530DB" w:rsidTr="00F63A5C">
        <w:tc>
          <w:tcPr>
            <w:tcW w:w="10173" w:type="dxa"/>
            <w:gridSpan w:val="2"/>
          </w:tcPr>
          <w:p w:rsidR="001A1D25" w:rsidRPr="008530DB" w:rsidRDefault="001A1D25" w:rsidP="001A1D25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1A1D25">
              <w:rPr>
                <w:b/>
                <w:sz w:val="32"/>
              </w:rPr>
              <w:t>Study Reports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8530DB" w:rsidRDefault="001A1D25" w:rsidP="009A188D">
            <w:pPr>
              <w:spacing w:after="0" w:line="240" w:lineRule="auto"/>
              <w:rPr>
                <w:sz w:val="26"/>
              </w:rPr>
            </w:pPr>
            <w:r w:rsidRPr="008530DB">
              <w:rPr>
                <w:b/>
                <w:sz w:val="26"/>
              </w:rPr>
              <w:t>Implementation of BSUP under NURM -English:</w:t>
            </w:r>
            <w:r w:rsidRPr="008530DB">
              <w:rPr>
                <w:sz w:val="26"/>
              </w:rPr>
              <w:t xml:space="preserve">  A study report on implementation of BSUP under NURM in Bangalore. The study was conducted by CIVIC in </w:t>
            </w:r>
            <w:r w:rsidR="009A188D">
              <w:rPr>
                <w:sz w:val="26"/>
              </w:rPr>
              <w:t>20</w:t>
            </w:r>
            <w:r w:rsidRPr="008530DB">
              <w:rPr>
                <w:sz w:val="26"/>
              </w:rPr>
              <w:t xml:space="preserve"> slums where housing projects were undertaken under BSUP of NURM.</w:t>
            </w: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12</w:t>
            </w:r>
            <w:r w:rsidR="001A1D25" w:rsidRPr="008530DB">
              <w:rPr>
                <w:sz w:val="26"/>
              </w:rPr>
              <w:t>0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106883" w:rsidRDefault="001A1D25" w:rsidP="001A1D25">
            <w:pPr>
              <w:spacing w:after="0" w:line="240" w:lineRule="auto"/>
              <w:rPr>
                <w:sz w:val="26"/>
              </w:rPr>
            </w:pPr>
            <w:r w:rsidRPr="00106883">
              <w:rPr>
                <w:b/>
                <w:sz w:val="26"/>
              </w:rPr>
              <w:t xml:space="preserve">Proactive Disclosure under the Right to Information Act 2005 </w:t>
            </w:r>
            <w:r>
              <w:rPr>
                <w:b/>
                <w:sz w:val="26"/>
              </w:rPr>
              <w:t>–</w:t>
            </w:r>
            <w:r w:rsidRPr="00106883">
              <w:rPr>
                <w:b/>
                <w:sz w:val="26"/>
              </w:rPr>
              <w:t xml:space="preserve"> English</w:t>
            </w:r>
            <w:r w:rsidRPr="00106883">
              <w:rPr>
                <w:sz w:val="26"/>
              </w:rPr>
              <w:t>:  A book that contains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an </w:t>
            </w:r>
            <w:r w:rsidR="00157CB7">
              <w:rPr>
                <w:sz w:val="26"/>
              </w:rPr>
              <w:t xml:space="preserve">overview of Section 41b of the RTI Act and </w:t>
            </w:r>
            <w:r>
              <w:rPr>
                <w:sz w:val="26"/>
              </w:rPr>
              <w:t>analysis of proactive disclosures of 7 government departments/agencies.</w:t>
            </w: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12</w:t>
            </w:r>
            <w:r w:rsidR="001A1D25" w:rsidRPr="008530DB">
              <w:rPr>
                <w:sz w:val="26"/>
              </w:rPr>
              <w:t>0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106883" w:rsidRDefault="009A188D" w:rsidP="009A188D">
            <w:pPr>
              <w:spacing w:after="0" w:line="240" w:lineRule="auto"/>
              <w:rPr>
                <w:sz w:val="26"/>
              </w:rPr>
            </w:pPr>
            <w:r>
              <w:rPr>
                <w:b/>
                <w:sz w:val="26"/>
              </w:rPr>
              <w:t>The Community Participation Law in U</w:t>
            </w:r>
            <w:r w:rsidR="001A1D25" w:rsidRPr="00106883">
              <w:rPr>
                <w:b/>
                <w:sz w:val="26"/>
              </w:rPr>
              <w:t>rban India</w:t>
            </w:r>
            <w:r>
              <w:rPr>
                <w:b/>
                <w:sz w:val="26"/>
              </w:rPr>
              <w:t>: S</w:t>
            </w:r>
            <w:r w:rsidR="001A1D25" w:rsidRPr="00106883">
              <w:rPr>
                <w:b/>
                <w:sz w:val="26"/>
              </w:rPr>
              <w:t>tatus and Issues- English</w:t>
            </w:r>
            <w:r w:rsidR="001A1D25">
              <w:rPr>
                <w:b/>
                <w:sz w:val="26"/>
              </w:rPr>
              <w:t xml:space="preserve">: </w:t>
            </w:r>
            <w:r w:rsidR="001A1D25">
              <w:rPr>
                <w:sz w:val="26"/>
              </w:rPr>
              <w:t xml:space="preserve">A comparative study of </w:t>
            </w:r>
            <w:r w:rsidR="00157CB7">
              <w:rPr>
                <w:sz w:val="26"/>
              </w:rPr>
              <w:t xml:space="preserve">the </w:t>
            </w:r>
            <w:r w:rsidR="001A1D25">
              <w:rPr>
                <w:sz w:val="26"/>
              </w:rPr>
              <w:t>community participation law</w:t>
            </w:r>
            <w:r w:rsidR="00157CB7">
              <w:rPr>
                <w:sz w:val="26"/>
              </w:rPr>
              <w:t>s</w:t>
            </w:r>
            <w:r w:rsidR="001A1D25">
              <w:rPr>
                <w:sz w:val="26"/>
              </w:rPr>
              <w:t xml:space="preserve"> of 11 states. </w:t>
            </w: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12</w:t>
            </w:r>
            <w:r w:rsidR="001A1D25" w:rsidRPr="008530DB">
              <w:rPr>
                <w:sz w:val="26"/>
              </w:rPr>
              <w:t>0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106883" w:rsidRDefault="009A188D" w:rsidP="00157CB7">
            <w:pPr>
              <w:spacing w:after="0" w:line="240" w:lineRule="auto"/>
              <w:rPr>
                <w:sz w:val="26"/>
              </w:rPr>
            </w:pPr>
            <w:r>
              <w:rPr>
                <w:b/>
                <w:sz w:val="26"/>
              </w:rPr>
              <w:t>Pilot Slum and Urban Homeless S</w:t>
            </w:r>
            <w:r w:rsidR="001A1D25" w:rsidRPr="00106883">
              <w:rPr>
                <w:b/>
                <w:sz w:val="26"/>
              </w:rPr>
              <w:t>tudy</w:t>
            </w:r>
            <w:r>
              <w:rPr>
                <w:b/>
                <w:sz w:val="26"/>
              </w:rPr>
              <w:t xml:space="preserve"> </w:t>
            </w:r>
            <w:r w:rsidR="001A1D25">
              <w:rPr>
                <w:b/>
                <w:sz w:val="26"/>
              </w:rPr>
              <w:t xml:space="preserve">: </w:t>
            </w:r>
            <w:r w:rsidR="001A1D25">
              <w:rPr>
                <w:sz w:val="26"/>
              </w:rPr>
              <w:t xml:space="preserve">A </w:t>
            </w:r>
            <w:r w:rsidR="00157CB7">
              <w:rPr>
                <w:sz w:val="26"/>
              </w:rPr>
              <w:t>report of</w:t>
            </w:r>
            <w:r w:rsidR="001A1D25">
              <w:rPr>
                <w:sz w:val="26"/>
              </w:rPr>
              <w:t xml:space="preserve"> the study conducted by CIVIC </w:t>
            </w:r>
            <w:r>
              <w:rPr>
                <w:sz w:val="26"/>
              </w:rPr>
              <w:t>o</w:t>
            </w:r>
            <w:r w:rsidR="001A1D25">
              <w:rPr>
                <w:sz w:val="26"/>
              </w:rPr>
              <w:t xml:space="preserve">n slums and </w:t>
            </w:r>
            <w:r w:rsidR="00157CB7">
              <w:rPr>
                <w:sz w:val="26"/>
              </w:rPr>
              <w:t>the</w:t>
            </w:r>
            <w:r w:rsidR="001A1D25">
              <w:rPr>
                <w:sz w:val="26"/>
              </w:rPr>
              <w:t xml:space="preserve"> urban homeless </w:t>
            </w:r>
            <w:r>
              <w:rPr>
                <w:sz w:val="26"/>
              </w:rPr>
              <w:t xml:space="preserve">in Bangalore </w:t>
            </w:r>
            <w:r w:rsidR="00157CB7">
              <w:rPr>
                <w:sz w:val="26"/>
              </w:rPr>
              <w:t xml:space="preserve">- </w:t>
            </w:r>
            <w:r w:rsidR="001A1D25">
              <w:rPr>
                <w:sz w:val="26"/>
              </w:rPr>
              <w:t xml:space="preserve">their </w:t>
            </w:r>
            <w:r w:rsidR="00157CB7">
              <w:rPr>
                <w:sz w:val="26"/>
              </w:rPr>
              <w:t xml:space="preserve">rights and their </w:t>
            </w:r>
            <w:r w:rsidR="001A1D25">
              <w:rPr>
                <w:sz w:val="26"/>
              </w:rPr>
              <w:t xml:space="preserve">difficulties in accessing basic facilities. </w:t>
            </w:r>
          </w:p>
        </w:tc>
        <w:tc>
          <w:tcPr>
            <w:tcW w:w="1701" w:type="dxa"/>
          </w:tcPr>
          <w:p w:rsidR="001A1D25" w:rsidRPr="008530DB" w:rsidRDefault="001A1D25" w:rsidP="001A1D25">
            <w:pPr>
              <w:spacing w:after="0" w:line="240" w:lineRule="auto"/>
              <w:rPr>
                <w:sz w:val="26"/>
              </w:rPr>
            </w:pPr>
          </w:p>
          <w:p w:rsidR="001A1D25" w:rsidRPr="008530DB" w:rsidRDefault="001A1D25" w:rsidP="001A1D25">
            <w:pPr>
              <w:spacing w:after="0" w:line="240" w:lineRule="auto"/>
              <w:rPr>
                <w:sz w:val="26"/>
              </w:rPr>
            </w:pPr>
            <w:r w:rsidRPr="008530DB">
              <w:rPr>
                <w:sz w:val="26"/>
              </w:rPr>
              <w:t>300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1A1D25" w:rsidRDefault="001A1D25" w:rsidP="001A1D25">
            <w:pPr>
              <w:pStyle w:val="NoSpacing"/>
              <w:rPr>
                <w:sz w:val="26"/>
              </w:rPr>
            </w:pPr>
            <w:r w:rsidRPr="00106883">
              <w:rPr>
                <w:b/>
                <w:sz w:val="26"/>
              </w:rPr>
              <w:t>Functioning of Wards Committees in Bangalore: A Case Study</w:t>
            </w:r>
            <w:r w:rsidR="009A188D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- </w:t>
            </w:r>
            <w:r w:rsidR="00157CB7">
              <w:rPr>
                <w:sz w:val="26"/>
              </w:rPr>
              <w:t>A study conduc</w:t>
            </w:r>
            <w:r>
              <w:rPr>
                <w:sz w:val="26"/>
              </w:rPr>
              <w:t xml:space="preserve">ted by CIVIC on how ward committees functioned in Bangalore Mahanagara Palike (BMP). </w:t>
            </w:r>
          </w:p>
          <w:p w:rsidR="001A1D25" w:rsidRPr="008530DB" w:rsidRDefault="001A1D25" w:rsidP="001A1D25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12</w:t>
            </w:r>
            <w:r w:rsidR="001A1D25" w:rsidRPr="008530DB">
              <w:rPr>
                <w:sz w:val="26"/>
              </w:rPr>
              <w:t>0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3811DD" w:rsidRDefault="001A1D25" w:rsidP="001A1D25">
            <w:pPr>
              <w:pStyle w:val="NoSpacing"/>
              <w:rPr>
                <w:b/>
                <w:sz w:val="26"/>
              </w:rPr>
            </w:pPr>
            <w:r w:rsidRPr="003811DD">
              <w:rPr>
                <w:b/>
                <w:sz w:val="26"/>
              </w:rPr>
              <w:t>Implementation of BSUP under NURM- Executive summary – Kannada</w:t>
            </w:r>
            <w:r>
              <w:rPr>
                <w:b/>
                <w:sz w:val="26"/>
              </w:rPr>
              <w:t xml:space="preserve">- </w:t>
            </w:r>
            <w:r w:rsidRPr="001A1D25">
              <w:rPr>
                <w:sz w:val="26"/>
              </w:rPr>
              <w:t>A translated version of the executive summary on how the BSUP under NURM was implemented in Bangalore City.</w:t>
            </w: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8</w:t>
            </w:r>
            <w:r w:rsidR="001A1D25" w:rsidRPr="008530DB">
              <w:rPr>
                <w:sz w:val="26"/>
              </w:rPr>
              <w:t>0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8530DB" w:rsidRDefault="001A1D25" w:rsidP="001A1D25">
            <w:pPr>
              <w:pStyle w:val="NoSpacing"/>
              <w:rPr>
                <w:sz w:val="26"/>
              </w:rPr>
            </w:pPr>
            <w:r w:rsidRPr="001A1D25">
              <w:rPr>
                <w:b/>
                <w:sz w:val="26"/>
              </w:rPr>
              <w:t>Implementation of BSUP under NURM – Executive summary – English -</w:t>
            </w:r>
            <w:r>
              <w:rPr>
                <w:b/>
                <w:sz w:val="26"/>
              </w:rPr>
              <w:t xml:space="preserve"> </w:t>
            </w:r>
            <w:r w:rsidRPr="001A1D25">
              <w:rPr>
                <w:sz w:val="26"/>
              </w:rPr>
              <w:t>The executive summary on how the BSUP under NURM was implemented in Bangalore City</w:t>
            </w: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8</w:t>
            </w:r>
            <w:r w:rsidR="001A1D25" w:rsidRPr="008530DB">
              <w:rPr>
                <w:sz w:val="26"/>
              </w:rPr>
              <w:t>0</w:t>
            </w:r>
          </w:p>
        </w:tc>
      </w:tr>
      <w:tr w:rsidR="001A1D25" w:rsidRPr="008530DB" w:rsidTr="00F63A5C">
        <w:tc>
          <w:tcPr>
            <w:tcW w:w="10173" w:type="dxa"/>
            <w:gridSpan w:val="2"/>
          </w:tcPr>
          <w:p w:rsidR="001A1D25" w:rsidRPr="001A1D25" w:rsidRDefault="001A1D25" w:rsidP="001A1D25">
            <w:pPr>
              <w:spacing w:after="0" w:line="240" w:lineRule="auto"/>
              <w:jc w:val="center"/>
              <w:rPr>
                <w:sz w:val="32"/>
              </w:rPr>
            </w:pPr>
            <w:r w:rsidRPr="001A1D25">
              <w:rPr>
                <w:b/>
                <w:sz w:val="32"/>
              </w:rPr>
              <w:t>Compendium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106883" w:rsidRDefault="001A1D25" w:rsidP="00157CB7">
            <w:pPr>
              <w:spacing w:after="0" w:line="240" w:lineRule="auto"/>
              <w:rPr>
                <w:b/>
                <w:sz w:val="26"/>
              </w:rPr>
            </w:pPr>
            <w:r w:rsidRPr="00106883">
              <w:rPr>
                <w:b/>
                <w:sz w:val="26"/>
              </w:rPr>
              <w:t>A Compen</w:t>
            </w:r>
            <w:r w:rsidR="009A188D">
              <w:rPr>
                <w:b/>
                <w:sz w:val="26"/>
              </w:rPr>
              <w:t>dium of Suggested Measures for Inclusive Growth and P</w:t>
            </w:r>
            <w:r w:rsidRPr="00106883">
              <w:rPr>
                <w:b/>
                <w:sz w:val="26"/>
              </w:rPr>
              <w:t>eople</w:t>
            </w:r>
            <w:r>
              <w:rPr>
                <w:b/>
                <w:sz w:val="26"/>
              </w:rPr>
              <w:t>’</w:t>
            </w:r>
            <w:r w:rsidR="009A188D">
              <w:rPr>
                <w:b/>
                <w:sz w:val="26"/>
              </w:rPr>
              <w:t>s P</w:t>
            </w:r>
            <w:r w:rsidRPr="00106883">
              <w:rPr>
                <w:b/>
                <w:sz w:val="26"/>
              </w:rPr>
              <w:t>articipation</w:t>
            </w:r>
            <w:r>
              <w:rPr>
                <w:b/>
                <w:sz w:val="26"/>
              </w:rPr>
              <w:t xml:space="preserve">: </w:t>
            </w:r>
            <w:r w:rsidRPr="00106883">
              <w:rPr>
                <w:sz w:val="26"/>
              </w:rPr>
              <w:t>A com</w:t>
            </w:r>
            <w:r w:rsidR="00157CB7">
              <w:rPr>
                <w:sz w:val="26"/>
              </w:rPr>
              <w:t xml:space="preserve">pilation by CIVIC </w:t>
            </w:r>
            <w:r w:rsidR="009A188D">
              <w:rPr>
                <w:sz w:val="26"/>
              </w:rPr>
              <w:t xml:space="preserve">of suggested measures </w:t>
            </w:r>
            <w:r w:rsidRPr="00106883">
              <w:rPr>
                <w:sz w:val="26"/>
              </w:rPr>
              <w:t>for inclusive growt</w:t>
            </w:r>
            <w:r>
              <w:rPr>
                <w:sz w:val="26"/>
              </w:rPr>
              <w:t xml:space="preserve">h and people’s participation </w:t>
            </w:r>
            <w:r w:rsidR="009A188D">
              <w:rPr>
                <w:sz w:val="26"/>
              </w:rPr>
              <w:t xml:space="preserve">through </w:t>
            </w:r>
            <w:r w:rsidR="00157CB7">
              <w:rPr>
                <w:sz w:val="26"/>
              </w:rPr>
              <w:t xml:space="preserve">the </w:t>
            </w:r>
            <w:r w:rsidR="009A188D">
              <w:rPr>
                <w:sz w:val="26"/>
              </w:rPr>
              <w:t>effective implementation of the 74</w:t>
            </w:r>
            <w:r w:rsidR="009A188D" w:rsidRPr="009A188D">
              <w:rPr>
                <w:sz w:val="26"/>
                <w:vertAlign w:val="superscript"/>
              </w:rPr>
              <w:t>th</w:t>
            </w:r>
            <w:r w:rsidR="009A188D">
              <w:rPr>
                <w:sz w:val="26"/>
              </w:rPr>
              <w:t xml:space="preserve"> C</w:t>
            </w:r>
            <w:r w:rsidR="00157CB7">
              <w:rPr>
                <w:sz w:val="26"/>
              </w:rPr>
              <w:t xml:space="preserve">onstitutional </w:t>
            </w:r>
            <w:r w:rsidR="009A188D">
              <w:rPr>
                <w:sz w:val="26"/>
              </w:rPr>
              <w:t>A</w:t>
            </w:r>
            <w:r w:rsidR="00157CB7">
              <w:rPr>
                <w:sz w:val="26"/>
              </w:rPr>
              <w:t>mendment</w:t>
            </w:r>
            <w:r>
              <w:rPr>
                <w:sz w:val="26"/>
              </w:rPr>
              <w:t xml:space="preserve">. </w:t>
            </w: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8</w:t>
            </w:r>
            <w:r w:rsidR="001A1D25" w:rsidRPr="008530DB">
              <w:rPr>
                <w:sz w:val="26"/>
              </w:rPr>
              <w:t>0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106883" w:rsidRDefault="009A188D" w:rsidP="009A188D">
            <w:pPr>
              <w:spacing w:after="0" w:line="240" w:lineRule="auto"/>
              <w:rPr>
                <w:sz w:val="26"/>
              </w:rPr>
            </w:pPr>
            <w:r>
              <w:rPr>
                <w:b/>
                <w:sz w:val="26"/>
              </w:rPr>
              <w:t>A G</w:t>
            </w:r>
            <w:r w:rsidR="001A1D25" w:rsidRPr="00106883">
              <w:rPr>
                <w:b/>
                <w:sz w:val="26"/>
              </w:rPr>
              <w:t>ui</w:t>
            </w:r>
            <w:r>
              <w:rPr>
                <w:b/>
                <w:sz w:val="26"/>
              </w:rPr>
              <w:t>de to Best P</w:t>
            </w:r>
            <w:r w:rsidR="001A1D25" w:rsidRPr="00106883">
              <w:rPr>
                <w:b/>
                <w:sz w:val="26"/>
              </w:rPr>
              <w:t>rac</w:t>
            </w:r>
            <w:r>
              <w:rPr>
                <w:b/>
                <w:sz w:val="26"/>
              </w:rPr>
              <w:t>tices in Citizen Participation in Urban Governance i</w:t>
            </w:r>
            <w:r w:rsidR="001A1D25" w:rsidRPr="00106883">
              <w:rPr>
                <w:b/>
                <w:sz w:val="26"/>
              </w:rPr>
              <w:t>n Bangalore- English</w:t>
            </w:r>
            <w:r w:rsidR="001A1D25">
              <w:rPr>
                <w:b/>
                <w:sz w:val="26"/>
              </w:rPr>
              <w:t xml:space="preserve">: </w:t>
            </w:r>
            <w:r w:rsidR="001A1D25">
              <w:rPr>
                <w:sz w:val="26"/>
              </w:rPr>
              <w:t>A guide that ha</w:t>
            </w:r>
            <w:r>
              <w:rPr>
                <w:sz w:val="26"/>
              </w:rPr>
              <w:t>s</w:t>
            </w:r>
            <w:r w:rsidR="001A1D25">
              <w:rPr>
                <w:sz w:val="26"/>
              </w:rPr>
              <w:t xml:space="preserve"> recorded the experiences of 5 wards </w:t>
            </w:r>
            <w:r>
              <w:rPr>
                <w:sz w:val="26"/>
              </w:rPr>
              <w:t xml:space="preserve">of Bangalore </w:t>
            </w:r>
            <w:r w:rsidR="001A1D25">
              <w:rPr>
                <w:sz w:val="26"/>
              </w:rPr>
              <w:t xml:space="preserve">that conducted </w:t>
            </w:r>
            <w:r>
              <w:rPr>
                <w:sz w:val="26"/>
              </w:rPr>
              <w:t>participatory planning, budgeting, monitoring and social auditing of works in their wards,</w:t>
            </w:r>
            <w:r w:rsidR="001A1D25">
              <w:rPr>
                <w:sz w:val="26"/>
              </w:rPr>
              <w:t xml:space="preserve"> which </w:t>
            </w:r>
            <w:r>
              <w:rPr>
                <w:sz w:val="26"/>
              </w:rPr>
              <w:t xml:space="preserve">could serve as models </w:t>
            </w:r>
            <w:r w:rsidR="001A1D25">
              <w:rPr>
                <w:sz w:val="26"/>
              </w:rPr>
              <w:t xml:space="preserve">for other organizations that are interested in doing </w:t>
            </w:r>
            <w:r>
              <w:rPr>
                <w:sz w:val="26"/>
              </w:rPr>
              <w:t xml:space="preserve">similar </w:t>
            </w:r>
            <w:r w:rsidR="001A1D25">
              <w:rPr>
                <w:sz w:val="26"/>
              </w:rPr>
              <w:t>exercise</w:t>
            </w:r>
            <w:r>
              <w:rPr>
                <w:sz w:val="26"/>
              </w:rPr>
              <w:t>s</w:t>
            </w:r>
            <w:r w:rsidR="001A1D25">
              <w:rPr>
                <w:sz w:val="26"/>
              </w:rPr>
              <w:t xml:space="preserve"> in their respective wards. </w:t>
            </w: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12</w:t>
            </w:r>
            <w:r w:rsidR="001A1D25" w:rsidRPr="008530DB">
              <w:rPr>
                <w:sz w:val="26"/>
              </w:rPr>
              <w:t>0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8530DB" w:rsidRDefault="009A188D" w:rsidP="001F0365">
            <w:pPr>
              <w:spacing w:after="0" w:line="240" w:lineRule="auto"/>
              <w:rPr>
                <w:sz w:val="26"/>
              </w:rPr>
            </w:pPr>
            <w:r>
              <w:rPr>
                <w:b/>
                <w:sz w:val="26"/>
              </w:rPr>
              <w:t xml:space="preserve">A Compendium of </w:t>
            </w:r>
            <w:r w:rsidR="001A1D25" w:rsidRPr="008530DB">
              <w:rPr>
                <w:b/>
                <w:sz w:val="26"/>
              </w:rPr>
              <w:t xml:space="preserve">Government Schemes </w:t>
            </w:r>
            <w:r>
              <w:rPr>
                <w:b/>
                <w:sz w:val="26"/>
              </w:rPr>
              <w:t>for the Urban Poor</w:t>
            </w:r>
            <w:r w:rsidR="001A1D25" w:rsidRPr="008530DB">
              <w:rPr>
                <w:sz w:val="26"/>
              </w:rPr>
              <w:t xml:space="preserve">: A book that </w:t>
            </w:r>
            <w:r>
              <w:rPr>
                <w:sz w:val="26"/>
              </w:rPr>
              <w:t xml:space="preserve">compiles </w:t>
            </w:r>
            <w:r w:rsidR="001A1D25" w:rsidRPr="008530DB">
              <w:rPr>
                <w:sz w:val="26"/>
              </w:rPr>
              <w:t>the available government scheme</w:t>
            </w:r>
            <w:r>
              <w:rPr>
                <w:sz w:val="26"/>
              </w:rPr>
              <w:t>s</w:t>
            </w:r>
            <w:r w:rsidR="001F0365">
              <w:rPr>
                <w:sz w:val="26"/>
              </w:rPr>
              <w:t>, mainly</w:t>
            </w:r>
            <w:r w:rsidR="001A1D25" w:rsidRPr="008530DB">
              <w:rPr>
                <w:sz w:val="26"/>
              </w:rPr>
              <w:t xml:space="preserve"> for </w:t>
            </w:r>
            <w:r w:rsidR="001F0365">
              <w:rPr>
                <w:sz w:val="26"/>
              </w:rPr>
              <w:t>the urban poor, under the categories of schemes for children, women, youth, adults, the elderly and for the community</w:t>
            </w:r>
            <w:r w:rsidR="001A1D25" w:rsidRPr="008530DB">
              <w:rPr>
                <w:sz w:val="26"/>
              </w:rPr>
              <w:t xml:space="preserve">. </w:t>
            </w: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12</w:t>
            </w:r>
            <w:r w:rsidR="001A1D25" w:rsidRPr="008530DB">
              <w:rPr>
                <w:sz w:val="26"/>
              </w:rPr>
              <w:t>0</w:t>
            </w:r>
          </w:p>
        </w:tc>
      </w:tr>
      <w:tr w:rsidR="001A1D25" w:rsidRPr="008530DB" w:rsidTr="00F63A5C">
        <w:tc>
          <w:tcPr>
            <w:tcW w:w="10173" w:type="dxa"/>
            <w:gridSpan w:val="2"/>
          </w:tcPr>
          <w:p w:rsidR="001A1D25" w:rsidRPr="001A1D25" w:rsidRDefault="00157CB7" w:rsidP="001A1D25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32"/>
              </w:rPr>
              <w:lastRenderedPageBreak/>
              <w:t xml:space="preserve">Information </w:t>
            </w:r>
            <w:r w:rsidR="001A1D25" w:rsidRPr="001A1D25">
              <w:rPr>
                <w:b/>
                <w:sz w:val="32"/>
              </w:rPr>
              <w:t>Booklets on Citizens</w:t>
            </w:r>
            <w:r w:rsidR="001F0365">
              <w:rPr>
                <w:b/>
                <w:sz w:val="32"/>
              </w:rPr>
              <w:t>’ C</w:t>
            </w:r>
            <w:r w:rsidR="001A1D25" w:rsidRPr="001A1D25">
              <w:rPr>
                <w:b/>
                <w:sz w:val="32"/>
              </w:rPr>
              <w:t>harter</w:t>
            </w:r>
            <w:r w:rsidR="001F0365">
              <w:rPr>
                <w:b/>
                <w:sz w:val="32"/>
              </w:rPr>
              <w:t>s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8530DB" w:rsidRDefault="00157CB7" w:rsidP="00157CB7">
            <w:pPr>
              <w:spacing w:after="0" w:line="240" w:lineRule="auto"/>
              <w:rPr>
                <w:sz w:val="26"/>
              </w:rPr>
            </w:pPr>
            <w:r>
              <w:rPr>
                <w:b/>
                <w:sz w:val="26"/>
              </w:rPr>
              <w:t xml:space="preserve">Booklet on the </w:t>
            </w:r>
            <w:r w:rsidR="00F57F0A">
              <w:rPr>
                <w:b/>
                <w:sz w:val="26"/>
              </w:rPr>
              <w:t xml:space="preserve">citizens’ charter of </w:t>
            </w:r>
            <w:r w:rsidR="001A1D25" w:rsidRPr="008530DB">
              <w:rPr>
                <w:b/>
                <w:sz w:val="26"/>
              </w:rPr>
              <w:t>PDS</w:t>
            </w:r>
            <w:r w:rsidR="003D0A14">
              <w:rPr>
                <w:b/>
                <w:sz w:val="26"/>
              </w:rPr>
              <w:t>- kannada</w:t>
            </w:r>
            <w:r w:rsidR="001A1D25" w:rsidRPr="008530DB">
              <w:rPr>
                <w:b/>
                <w:sz w:val="26"/>
              </w:rPr>
              <w:t>:</w:t>
            </w:r>
            <w:r w:rsidR="001F0365">
              <w:rPr>
                <w:sz w:val="26"/>
              </w:rPr>
              <w:t xml:space="preserve"> P</w:t>
            </w:r>
            <w:r w:rsidR="001A1D25" w:rsidRPr="008530DB">
              <w:rPr>
                <w:sz w:val="26"/>
              </w:rPr>
              <w:t>rovides information on the functioning of PDS shop</w:t>
            </w:r>
            <w:r>
              <w:rPr>
                <w:sz w:val="26"/>
              </w:rPr>
              <w:t>s</w:t>
            </w:r>
            <w:r w:rsidR="001A1D25" w:rsidRPr="008530DB">
              <w:rPr>
                <w:sz w:val="26"/>
              </w:rPr>
              <w:t xml:space="preserve"> and entitlements of card</w:t>
            </w:r>
            <w:r>
              <w:rPr>
                <w:sz w:val="26"/>
              </w:rPr>
              <w:t>-</w:t>
            </w:r>
            <w:r w:rsidR="001A1D25" w:rsidRPr="008530DB">
              <w:rPr>
                <w:sz w:val="26"/>
              </w:rPr>
              <w:t>holders</w:t>
            </w:r>
            <w:r w:rsidR="00F57F0A">
              <w:rPr>
                <w:sz w:val="26"/>
              </w:rPr>
              <w:t>.</w:t>
            </w: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  <w:r w:rsidR="001A1D25" w:rsidRPr="008530DB">
              <w:rPr>
                <w:sz w:val="26"/>
              </w:rPr>
              <w:t>0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8530DB" w:rsidRDefault="001A1D25" w:rsidP="00157CB7">
            <w:pPr>
              <w:spacing w:after="0" w:line="240" w:lineRule="auto"/>
              <w:rPr>
                <w:sz w:val="26"/>
              </w:rPr>
            </w:pPr>
            <w:r w:rsidRPr="008530DB">
              <w:rPr>
                <w:b/>
                <w:sz w:val="26"/>
              </w:rPr>
              <w:t>RTI brochure</w:t>
            </w:r>
            <w:r w:rsidR="00157CB7">
              <w:rPr>
                <w:b/>
                <w:sz w:val="26"/>
              </w:rPr>
              <w:t>s</w:t>
            </w:r>
            <w:r w:rsidRPr="008530DB">
              <w:rPr>
                <w:b/>
                <w:sz w:val="26"/>
              </w:rPr>
              <w:t xml:space="preserve"> </w:t>
            </w:r>
            <w:r w:rsidR="00157CB7">
              <w:rPr>
                <w:b/>
                <w:sz w:val="26"/>
              </w:rPr>
              <w:t>in</w:t>
            </w:r>
            <w:r w:rsidRPr="008530DB">
              <w:rPr>
                <w:b/>
                <w:sz w:val="26"/>
              </w:rPr>
              <w:t xml:space="preserve"> English</w:t>
            </w:r>
            <w:r w:rsidR="00157CB7">
              <w:rPr>
                <w:b/>
                <w:sz w:val="26"/>
              </w:rPr>
              <w:t xml:space="preserve"> and</w:t>
            </w:r>
            <w:r w:rsidRPr="008530DB">
              <w:rPr>
                <w:b/>
                <w:sz w:val="26"/>
              </w:rPr>
              <w:t xml:space="preserve"> Kannada:</w:t>
            </w:r>
            <w:r w:rsidRPr="008530DB">
              <w:rPr>
                <w:sz w:val="26"/>
              </w:rPr>
              <w:t xml:space="preserve"> Provide </w:t>
            </w:r>
            <w:r w:rsidR="00157CB7">
              <w:rPr>
                <w:sz w:val="26"/>
              </w:rPr>
              <w:t>details on the Right to Information (</w:t>
            </w:r>
            <w:r w:rsidRPr="008530DB">
              <w:rPr>
                <w:sz w:val="26"/>
              </w:rPr>
              <w:t>RTI</w:t>
            </w:r>
            <w:r w:rsidR="00157CB7">
              <w:rPr>
                <w:sz w:val="26"/>
              </w:rPr>
              <w:t>) Act</w:t>
            </w:r>
            <w:r w:rsidRPr="008530DB">
              <w:rPr>
                <w:sz w:val="26"/>
              </w:rPr>
              <w:t xml:space="preserve"> </w:t>
            </w:r>
            <w:r w:rsidR="00157CB7">
              <w:rPr>
                <w:sz w:val="26"/>
              </w:rPr>
              <w:t xml:space="preserve">in easy-to-understand Q/A format </w:t>
            </w:r>
            <w:r w:rsidRPr="008530DB">
              <w:rPr>
                <w:sz w:val="26"/>
              </w:rPr>
              <w:t xml:space="preserve">and on how to </w:t>
            </w:r>
            <w:r w:rsidR="00157CB7">
              <w:rPr>
                <w:sz w:val="26"/>
              </w:rPr>
              <w:t xml:space="preserve">apply for information </w:t>
            </w:r>
            <w:r w:rsidRPr="008530DB">
              <w:rPr>
                <w:sz w:val="26"/>
              </w:rPr>
              <w:t xml:space="preserve">under </w:t>
            </w:r>
            <w:r w:rsidR="00157CB7">
              <w:rPr>
                <w:sz w:val="26"/>
              </w:rPr>
              <w:t xml:space="preserve">the </w:t>
            </w:r>
            <w:r w:rsidRPr="008530DB">
              <w:rPr>
                <w:sz w:val="26"/>
              </w:rPr>
              <w:t xml:space="preserve">RTI </w:t>
            </w:r>
            <w:r w:rsidR="00157CB7">
              <w:rPr>
                <w:sz w:val="26"/>
              </w:rPr>
              <w:t>Act</w:t>
            </w:r>
            <w:r w:rsidR="00F57F0A">
              <w:rPr>
                <w:sz w:val="26"/>
              </w:rPr>
              <w:t>.</w:t>
            </w: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3</w:t>
            </w:r>
            <w:r w:rsidR="001A1D25" w:rsidRPr="008530DB">
              <w:rPr>
                <w:sz w:val="26"/>
              </w:rPr>
              <w:t>0</w:t>
            </w:r>
            <w:r w:rsidR="00157CB7">
              <w:rPr>
                <w:sz w:val="26"/>
              </w:rPr>
              <w:t xml:space="preserve"> each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8530DB" w:rsidRDefault="00157CB7" w:rsidP="00F57F0A">
            <w:pPr>
              <w:spacing w:after="0" w:line="240" w:lineRule="auto"/>
              <w:rPr>
                <w:sz w:val="26"/>
              </w:rPr>
            </w:pPr>
            <w:r>
              <w:rPr>
                <w:b/>
                <w:sz w:val="26"/>
              </w:rPr>
              <w:t xml:space="preserve">Booklet on BWSSB’s </w:t>
            </w:r>
            <w:r w:rsidR="001A1D25" w:rsidRPr="008530DB">
              <w:rPr>
                <w:b/>
                <w:sz w:val="26"/>
              </w:rPr>
              <w:t>citizen</w:t>
            </w:r>
            <w:r>
              <w:rPr>
                <w:b/>
                <w:sz w:val="26"/>
              </w:rPr>
              <w:t>s’</w:t>
            </w:r>
            <w:r w:rsidR="001A1D25" w:rsidRPr="008530DB">
              <w:rPr>
                <w:b/>
                <w:sz w:val="26"/>
              </w:rPr>
              <w:t xml:space="preserve"> charter</w:t>
            </w:r>
            <w:r>
              <w:rPr>
                <w:b/>
                <w:sz w:val="26"/>
              </w:rPr>
              <w:t xml:space="preserve"> </w:t>
            </w:r>
            <w:r w:rsidR="003D0A14">
              <w:rPr>
                <w:b/>
                <w:sz w:val="26"/>
              </w:rPr>
              <w:t xml:space="preserve"> - kannada</w:t>
            </w:r>
            <w:r w:rsidR="001A1D25" w:rsidRPr="008530DB">
              <w:rPr>
                <w:sz w:val="26"/>
              </w:rPr>
              <w:t>- Provides</w:t>
            </w:r>
            <w:r w:rsidR="001A1D25">
              <w:rPr>
                <w:sz w:val="26"/>
              </w:rPr>
              <w:t xml:space="preserve"> details of BWSSB</w:t>
            </w:r>
            <w:r>
              <w:rPr>
                <w:sz w:val="26"/>
              </w:rPr>
              <w:t xml:space="preserve"> </w:t>
            </w:r>
            <w:r w:rsidR="001A1D25">
              <w:rPr>
                <w:sz w:val="26"/>
              </w:rPr>
              <w:t>- its functions and duties</w:t>
            </w:r>
            <w:r w:rsidR="00F57F0A">
              <w:rPr>
                <w:sz w:val="26"/>
              </w:rPr>
              <w:t>, and also</w:t>
            </w:r>
            <w:r w:rsidR="001A1D25">
              <w:rPr>
                <w:sz w:val="26"/>
              </w:rPr>
              <w:t xml:space="preserve"> details of fee</w:t>
            </w:r>
            <w:r w:rsidR="00F57F0A">
              <w:rPr>
                <w:sz w:val="26"/>
              </w:rPr>
              <w:t>s</w:t>
            </w:r>
            <w:r w:rsidR="001A1D25">
              <w:rPr>
                <w:sz w:val="26"/>
              </w:rPr>
              <w:t xml:space="preserve"> and procedure</w:t>
            </w:r>
            <w:r w:rsidR="00F57F0A">
              <w:rPr>
                <w:sz w:val="26"/>
              </w:rPr>
              <w:t>s for</w:t>
            </w:r>
            <w:r w:rsidR="001A1D25">
              <w:rPr>
                <w:sz w:val="26"/>
              </w:rPr>
              <w:t xml:space="preserve"> tak</w:t>
            </w:r>
            <w:r w:rsidR="00F57F0A">
              <w:rPr>
                <w:sz w:val="26"/>
              </w:rPr>
              <w:t>ing</w:t>
            </w:r>
            <w:r w:rsidR="001A1D25">
              <w:rPr>
                <w:sz w:val="26"/>
              </w:rPr>
              <w:t xml:space="preserve"> water and sewerage connection</w:t>
            </w:r>
            <w:r w:rsidR="00F57F0A">
              <w:rPr>
                <w:sz w:val="26"/>
              </w:rPr>
              <w:t>s</w:t>
            </w:r>
            <w:r w:rsidR="001A1D25">
              <w:rPr>
                <w:sz w:val="26"/>
              </w:rPr>
              <w:t xml:space="preserve"> to houses.</w:t>
            </w: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  <w:r w:rsidR="001A1D25" w:rsidRPr="008530DB">
              <w:rPr>
                <w:sz w:val="26"/>
              </w:rPr>
              <w:t>0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8530DB" w:rsidRDefault="00F57F0A" w:rsidP="006B3606">
            <w:pPr>
              <w:spacing w:after="0" w:line="240" w:lineRule="auto"/>
              <w:rPr>
                <w:sz w:val="26"/>
              </w:rPr>
            </w:pPr>
            <w:r>
              <w:rPr>
                <w:b/>
                <w:sz w:val="26"/>
              </w:rPr>
              <w:t xml:space="preserve">Booklet on </w:t>
            </w:r>
            <w:r w:rsidR="006B3606">
              <w:rPr>
                <w:b/>
                <w:sz w:val="26"/>
              </w:rPr>
              <w:t xml:space="preserve">citizens’ charter on </w:t>
            </w:r>
            <w:r w:rsidR="001A1D25" w:rsidRPr="00051562">
              <w:rPr>
                <w:b/>
                <w:sz w:val="26"/>
              </w:rPr>
              <w:t>Education</w:t>
            </w:r>
            <w:r w:rsidR="003D0A14">
              <w:rPr>
                <w:b/>
                <w:sz w:val="26"/>
              </w:rPr>
              <w:t>- kannada</w:t>
            </w:r>
            <w:r w:rsidR="001A1D25" w:rsidRPr="00051562">
              <w:rPr>
                <w:b/>
                <w:sz w:val="26"/>
              </w:rPr>
              <w:t>:</w:t>
            </w:r>
            <w:r w:rsidR="001A1D25">
              <w:rPr>
                <w:sz w:val="26"/>
              </w:rPr>
              <w:t xml:space="preserve"> Provides details on schemes and facilities </w:t>
            </w:r>
            <w:r>
              <w:rPr>
                <w:sz w:val="26"/>
              </w:rPr>
              <w:t>for</w:t>
            </w:r>
            <w:r w:rsidR="001A1D25">
              <w:rPr>
                <w:sz w:val="26"/>
              </w:rPr>
              <w:t xml:space="preserve"> children studying in government schools under SSA</w:t>
            </w:r>
            <w:r>
              <w:rPr>
                <w:sz w:val="26"/>
              </w:rPr>
              <w:t xml:space="preserve"> and on the roles and responsibilities of SDMCs</w:t>
            </w:r>
            <w:r w:rsidR="001A1D25">
              <w:rPr>
                <w:sz w:val="26"/>
              </w:rPr>
              <w:t xml:space="preserve">. </w:t>
            </w: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  <w:r w:rsidR="001A1D25" w:rsidRPr="008530DB">
              <w:rPr>
                <w:sz w:val="26"/>
              </w:rPr>
              <w:t>0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051562" w:rsidRDefault="006B3606" w:rsidP="006B3606">
            <w:pPr>
              <w:spacing w:after="0" w:line="240" w:lineRule="auto"/>
              <w:rPr>
                <w:sz w:val="26"/>
              </w:rPr>
            </w:pPr>
            <w:r>
              <w:rPr>
                <w:b/>
                <w:sz w:val="26"/>
              </w:rPr>
              <w:t xml:space="preserve">Booklet on citizens’ charter on </w:t>
            </w:r>
            <w:r w:rsidR="001A1D25" w:rsidRPr="00051562">
              <w:rPr>
                <w:b/>
                <w:sz w:val="26"/>
              </w:rPr>
              <w:t>Health</w:t>
            </w:r>
            <w:r w:rsidR="003D0A14">
              <w:rPr>
                <w:b/>
                <w:sz w:val="26"/>
              </w:rPr>
              <w:t>- kannada</w:t>
            </w:r>
            <w:r w:rsidR="001A1D25">
              <w:rPr>
                <w:b/>
                <w:sz w:val="26"/>
              </w:rPr>
              <w:t xml:space="preserve">: </w:t>
            </w:r>
            <w:r w:rsidR="001A1D25">
              <w:rPr>
                <w:sz w:val="26"/>
              </w:rPr>
              <w:t>Provides details on facili</w:t>
            </w:r>
            <w:r>
              <w:rPr>
                <w:sz w:val="26"/>
              </w:rPr>
              <w:t xml:space="preserve">ties and schemes available for </w:t>
            </w:r>
            <w:r w:rsidR="001A1D25">
              <w:rPr>
                <w:sz w:val="26"/>
              </w:rPr>
              <w:t xml:space="preserve">patients </w:t>
            </w:r>
            <w:r>
              <w:rPr>
                <w:sz w:val="26"/>
              </w:rPr>
              <w:t>at</w:t>
            </w:r>
            <w:r w:rsidR="001A1D25">
              <w:rPr>
                <w:sz w:val="26"/>
              </w:rPr>
              <w:t xml:space="preserve"> primary health centre</w:t>
            </w:r>
            <w:r>
              <w:rPr>
                <w:sz w:val="26"/>
              </w:rPr>
              <w:t>s</w:t>
            </w:r>
            <w:r w:rsidR="001A1D25">
              <w:rPr>
                <w:sz w:val="26"/>
              </w:rPr>
              <w:t xml:space="preserve"> and general hospitals. It also provides the details of user</w:t>
            </w:r>
            <w:r>
              <w:rPr>
                <w:sz w:val="26"/>
              </w:rPr>
              <w:t>s’</w:t>
            </w:r>
            <w:r w:rsidR="001A1D25">
              <w:rPr>
                <w:sz w:val="26"/>
              </w:rPr>
              <w:t xml:space="preserve"> fee</w:t>
            </w:r>
            <w:r>
              <w:rPr>
                <w:sz w:val="26"/>
              </w:rPr>
              <w:t>s</w:t>
            </w:r>
            <w:r w:rsidR="001A1D25">
              <w:rPr>
                <w:sz w:val="26"/>
              </w:rPr>
              <w:t xml:space="preserve"> that should be paid by patients. </w:t>
            </w: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  <w:r w:rsidR="001A1D25" w:rsidRPr="008530DB">
              <w:rPr>
                <w:sz w:val="26"/>
              </w:rPr>
              <w:t>0</w:t>
            </w:r>
          </w:p>
        </w:tc>
      </w:tr>
      <w:tr w:rsidR="006463DA" w:rsidRPr="008530DB" w:rsidTr="001A1D25">
        <w:tc>
          <w:tcPr>
            <w:tcW w:w="8472" w:type="dxa"/>
          </w:tcPr>
          <w:p w:rsidR="006463DA" w:rsidRPr="006463DA" w:rsidRDefault="006463DA" w:rsidP="006463DA">
            <w:pPr>
              <w:spacing w:after="0" w:line="240" w:lineRule="auto"/>
              <w:rPr>
                <w:sz w:val="26"/>
              </w:rPr>
            </w:pPr>
            <w:r>
              <w:rPr>
                <w:b/>
                <w:sz w:val="26"/>
              </w:rPr>
              <w:t>Booklet on SC/ST Sub-Plan</w:t>
            </w:r>
            <w:r w:rsidR="003D0A14">
              <w:rPr>
                <w:b/>
                <w:sz w:val="26"/>
              </w:rPr>
              <w:t>- kannada</w:t>
            </w:r>
            <w:r>
              <w:rPr>
                <w:b/>
                <w:sz w:val="26"/>
              </w:rPr>
              <w:t xml:space="preserve">:  </w:t>
            </w:r>
            <w:r>
              <w:rPr>
                <w:sz w:val="26"/>
              </w:rPr>
              <w:t>Provides details on the SC/ST Sub-Plan, norms and guidelines to be followed under it and details of schemes for SC/STs</w:t>
            </w:r>
          </w:p>
        </w:tc>
        <w:tc>
          <w:tcPr>
            <w:tcW w:w="1701" w:type="dxa"/>
          </w:tcPr>
          <w:p w:rsidR="006463DA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  <w:r w:rsidR="006463DA">
              <w:rPr>
                <w:sz w:val="26"/>
              </w:rPr>
              <w:t>0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051562" w:rsidRDefault="00F57F0A" w:rsidP="00F57F0A">
            <w:pPr>
              <w:spacing w:after="0" w:line="240" w:lineRule="auto"/>
              <w:rPr>
                <w:sz w:val="26"/>
              </w:rPr>
            </w:pPr>
            <w:r>
              <w:rPr>
                <w:b/>
                <w:sz w:val="26"/>
              </w:rPr>
              <w:t>“</w:t>
            </w:r>
            <w:r w:rsidR="001A1D25" w:rsidRPr="00051562">
              <w:rPr>
                <w:b/>
                <w:sz w:val="26"/>
              </w:rPr>
              <w:t xml:space="preserve">Power to </w:t>
            </w:r>
            <w:r>
              <w:rPr>
                <w:b/>
                <w:sz w:val="26"/>
              </w:rPr>
              <w:t>the P</w:t>
            </w:r>
            <w:r w:rsidR="001A1D25" w:rsidRPr="00051562">
              <w:rPr>
                <w:b/>
                <w:sz w:val="26"/>
              </w:rPr>
              <w:t>eople</w:t>
            </w:r>
            <w:r>
              <w:rPr>
                <w:b/>
                <w:sz w:val="26"/>
              </w:rPr>
              <w:t>” (</w:t>
            </w:r>
            <w:r w:rsidR="001A1D25" w:rsidRPr="00051562">
              <w:rPr>
                <w:b/>
                <w:sz w:val="26"/>
              </w:rPr>
              <w:t>74</w:t>
            </w:r>
            <w:r w:rsidR="001A1D25" w:rsidRPr="00051562">
              <w:rPr>
                <w:b/>
                <w:sz w:val="26"/>
                <w:vertAlign w:val="superscript"/>
              </w:rPr>
              <w:t>th</w:t>
            </w:r>
            <w:r w:rsidR="001A1D25" w:rsidRPr="00051562">
              <w:rPr>
                <w:b/>
                <w:sz w:val="26"/>
              </w:rPr>
              <w:t xml:space="preserve"> Nagarapalika Act</w:t>
            </w:r>
            <w:r>
              <w:rPr>
                <w:b/>
                <w:sz w:val="26"/>
              </w:rPr>
              <w:t xml:space="preserve">) </w:t>
            </w:r>
            <w:r w:rsidR="001A1D25" w:rsidRPr="00051562">
              <w:rPr>
                <w:b/>
                <w:sz w:val="26"/>
              </w:rPr>
              <w:t>- English</w:t>
            </w:r>
            <w:r w:rsidR="001A1D25">
              <w:rPr>
                <w:b/>
                <w:sz w:val="26"/>
              </w:rPr>
              <w:t xml:space="preserve">: </w:t>
            </w:r>
            <w:r w:rsidR="001A1D25">
              <w:rPr>
                <w:sz w:val="26"/>
              </w:rPr>
              <w:t xml:space="preserve">A small book that provides </w:t>
            </w:r>
            <w:r>
              <w:rPr>
                <w:sz w:val="26"/>
              </w:rPr>
              <w:t>an overview of the 74</w:t>
            </w:r>
            <w:r w:rsidRPr="00F57F0A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CA and summary of findings and </w:t>
            </w:r>
            <w:r w:rsidR="001A1D25">
              <w:rPr>
                <w:sz w:val="26"/>
              </w:rPr>
              <w:t xml:space="preserve">recommendations on </w:t>
            </w:r>
            <w:r>
              <w:rPr>
                <w:sz w:val="26"/>
              </w:rPr>
              <w:t>the functioning of</w:t>
            </w:r>
            <w:r w:rsidR="001A1D25">
              <w:rPr>
                <w:sz w:val="26"/>
              </w:rPr>
              <w:t xml:space="preserve"> ward committee</w:t>
            </w:r>
            <w:r>
              <w:rPr>
                <w:sz w:val="26"/>
              </w:rPr>
              <w:t>s in Bangalore</w:t>
            </w:r>
            <w:r w:rsidR="001A1D25">
              <w:rPr>
                <w:sz w:val="26"/>
              </w:rPr>
              <w:t xml:space="preserve">. </w:t>
            </w: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  <w:r w:rsidR="001A1D25" w:rsidRPr="008530DB">
              <w:rPr>
                <w:sz w:val="26"/>
              </w:rPr>
              <w:t>0</w:t>
            </w:r>
          </w:p>
        </w:tc>
      </w:tr>
      <w:tr w:rsidR="001A1D25" w:rsidRPr="008530DB" w:rsidTr="001A1D25">
        <w:tc>
          <w:tcPr>
            <w:tcW w:w="8472" w:type="dxa"/>
          </w:tcPr>
          <w:p w:rsidR="001A1D25" w:rsidRPr="008530DB" w:rsidRDefault="00F57F0A" w:rsidP="00F57F0A">
            <w:pPr>
              <w:spacing w:after="0" w:line="240" w:lineRule="auto"/>
              <w:rPr>
                <w:sz w:val="26"/>
              </w:rPr>
            </w:pPr>
            <w:r>
              <w:rPr>
                <w:b/>
                <w:sz w:val="26"/>
              </w:rPr>
              <w:t>“Janathege A</w:t>
            </w:r>
            <w:r w:rsidR="001A1D25" w:rsidRPr="00106883">
              <w:rPr>
                <w:b/>
                <w:sz w:val="26"/>
              </w:rPr>
              <w:t>d</w:t>
            </w:r>
            <w:r>
              <w:rPr>
                <w:b/>
                <w:sz w:val="26"/>
              </w:rPr>
              <w:t>h</w:t>
            </w:r>
            <w:r w:rsidR="001A1D25" w:rsidRPr="00106883">
              <w:rPr>
                <w:b/>
                <w:sz w:val="26"/>
              </w:rPr>
              <w:t>ikara</w:t>
            </w:r>
            <w:r>
              <w:rPr>
                <w:b/>
                <w:sz w:val="26"/>
              </w:rPr>
              <w:t>”</w:t>
            </w:r>
            <w:r w:rsidR="001A1D25" w:rsidRPr="00106883">
              <w:rPr>
                <w:b/>
                <w:sz w:val="26"/>
              </w:rPr>
              <w:t xml:space="preserve"> (74</w:t>
            </w:r>
            <w:r w:rsidR="001A1D25" w:rsidRPr="00106883">
              <w:rPr>
                <w:b/>
                <w:sz w:val="26"/>
                <w:vertAlign w:val="superscript"/>
              </w:rPr>
              <w:t>th</w:t>
            </w:r>
            <w:r w:rsidR="001A1D25" w:rsidRPr="00106883">
              <w:rPr>
                <w:b/>
                <w:sz w:val="26"/>
              </w:rPr>
              <w:t xml:space="preserve"> Nagarapalika Act) – Kannada</w:t>
            </w:r>
            <w:r>
              <w:rPr>
                <w:b/>
                <w:sz w:val="26"/>
              </w:rPr>
              <w:t>:</w:t>
            </w:r>
            <w:r w:rsidR="001A1D2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A small book that provides an overview of the 74</w:t>
            </w:r>
            <w:r w:rsidRPr="00F57F0A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CA and summary of findings and recommendations on the functioning of ward committees in Bangalore. </w:t>
            </w:r>
          </w:p>
        </w:tc>
        <w:tc>
          <w:tcPr>
            <w:tcW w:w="1701" w:type="dxa"/>
          </w:tcPr>
          <w:p w:rsidR="001A1D25" w:rsidRPr="008530DB" w:rsidRDefault="003D0A14" w:rsidP="001A1D2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  <w:r w:rsidR="001A1D25" w:rsidRPr="008530DB">
              <w:rPr>
                <w:sz w:val="26"/>
              </w:rPr>
              <w:t>0</w:t>
            </w:r>
          </w:p>
        </w:tc>
      </w:tr>
    </w:tbl>
    <w:p w:rsidR="003F3757" w:rsidRDefault="003F3757" w:rsidP="001A1D25">
      <w:pPr>
        <w:rPr>
          <w:b/>
          <w:i/>
          <w:sz w:val="30"/>
        </w:rPr>
      </w:pPr>
    </w:p>
    <w:p w:rsidR="003D0A14" w:rsidRDefault="003D0A14" w:rsidP="001A1D25">
      <w:pPr>
        <w:rPr>
          <w:b/>
          <w:i/>
          <w:sz w:val="30"/>
        </w:rPr>
      </w:pPr>
      <w:r>
        <w:rPr>
          <w:b/>
          <w:i/>
          <w:sz w:val="30"/>
        </w:rPr>
        <w:t>Postal charges extra</w:t>
      </w:r>
    </w:p>
    <w:p w:rsidR="003D0A14" w:rsidRPr="008530DB" w:rsidRDefault="003D0A14" w:rsidP="001A1D25">
      <w:pPr>
        <w:rPr>
          <w:b/>
          <w:i/>
          <w:sz w:val="30"/>
        </w:rPr>
      </w:pPr>
    </w:p>
    <w:sectPr w:rsidR="003D0A14" w:rsidRPr="008530DB" w:rsidSect="001A1D25">
      <w:headerReference w:type="default" r:id="rId6"/>
      <w:pgSz w:w="12240" w:h="15840"/>
      <w:pgMar w:top="567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E86" w:rsidRDefault="001B5E86" w:rsidP="001A1D25">
      <w:pPr>
        <w:spacing w:after="0" w:line="240" w:lineRule="auto"/>
      </w:pPr>
      <w:r>
        <w:separator/>
      </w:r>
    </w:p>
  </w:endnote>
  <w:endnote w:type="continuationSeparator" w:id="1">
    <w:p w:rsidR="001B5E86" w:rsidRDefault="001B5E86" w:rsidP="001A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E86" w:rsidRDefault="001B5E86" w:rsidP="001A1D25">
      <w:pPr>
        <w:spacing w:after="0" w:line="240" w:lineRule="auto"/>
      </w:pPr>
      <w:r>
        <w:separator/>
      </w:r>
    </w:p>
  </w:footnote>
  <w:footnote w:type="continuationSeparator" w:id="1">
    <w:p w:rsidR="001B5E86" w:rsidRDefault="001B5E86" w:rsidP="001A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25" w:rsidRDefault="001A1D25" w:rsidP="001A1D25">
    <w:pPr>
      <w:rPr>
        <w:b/>
        <w:i/>
        <w:sz w:val="30"/>
      </w:rPr>
    </w:pPr>
    <w:r>
      <w:rPr>
        <w:b/>
        <w:i/>
        <w:sz w:val="30"/>
      </w:rPr>
      <w:tab/>
    </w:r>
    <w:r>
      <w:rPr>
        <w:b/>
        <w:i/>
        <w:sz w:val="30"/>
      </w:rPr>
      <w:tab/>
    </w:r>
    <w:r w:rsidRPr="008530DB">
      <w:rPr>
        <w:b/>
        <w:i/>
        <w:sz w:val="30"/>
      </w:rPr>
      <w:t>List of Books Published by CIVIC Bangalore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F257B"/>
    <w:rsid w:val="00051562"/>
    <w:rsid w:val="000A1E62"/>
    <w:rsid w:val="000C0E6F"/>
    <w:rsid w:val="000C2B06"/>
    <w:rsid w:val="000D63AD"/>
    <w:rsid w:val="00106883"/>
    <w:rsid w:val="00151C89"/>
    <w:rsid w:val="00157CB7"/>
    <w:rsid w:val="00177E77"/>
    <w:rsid w:val="001A1D25"/>
    <w:rsid w:val="001B5E86"/>
    <w:rsid w:val="001F0365"/>
    <w:rsid w:val="003030BB"/>
    <w:rsid w:val="003811DD"/>
    <w:rsid w:val="003D0A14"/>
    <w:rsid w:val="003F3757"/>
    <w:rsid w:val="004B4342"/>
    <w:rsid w:val="00540BA0"/>
    <w:rsid w:val="005B707D"/>
    <w:rsid w:val="006463DA"/>
    <w:rsid w:val="006B3606"/>
    <w:rsid w:val="006D0675"/>
    <w:rsid w:val="00716AC3"/>
    <w:rsid w:val="007E5AE9"/>
    <w:rsid w:val="00833576"/>
    <w:rsid w:val="008530DB"/>
    <w:rsid w:val="009A188D"/>
    <w:rsid w:val="009D0EF7"/>
    <w:rsid w:val="009F257B"/>
    <w:rsid w:val="00A10BEB"/>
    <w:rsid w:val="00A30EFE"/>
    <w:rsid w:val="00AC2FB7"/>
    <w:rsid w:val="00AF1FE2"/>
    <w:rsid w:val="00DB5ACD"/>
    <w:rsid w:val="00F425CF"/>
    <w:rsid w:val="00F57F0A"/>
    <w:rsid w:val="00F6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8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0EF7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1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D2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A1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D2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</dc:creator>
  <cp:lastModifiedBy>Harish</cp:lastModifiedBy>
  <cp:revision>3</cp:revision>
  <dcterms:created xsi:type="dcterms:W3CDTF">2013-05-22T06:04:00Z</dcterms:created>
  <dcterms:modified xsi:type="dcterms:W3CDTF">2013-05-22T06:09:00Z</dcterms:modified>
</cp:coreProperties>
</file>